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63D" w:rsidRPr="00E00CA7" w:rsidRDefault="000A5C38">
      <w:pPr>
        <w:widowControl/>
        <w:jc w:val="center"/>
        <w:rPr>
          <w:rFonts w:ascii="黑体" w:eastAsia="黑体" w:hAnsi="宋体" w:cs="宋体"/>
          <w:b/>
          <w:kern w:val="0"/>
          <w:sz w:val="30"/>
          <w:szCs w:val="30"/>
        </w:rPr>
      </w:pPr>
      <w:r>
        <w:rPr>
          <w:rFonts w:ascii="黑体" w:eastAsia="黑体" w:hAnsi="宋体" w:cs="宋体" w:hint="eastAsia"/>
          <w:b/>
          <w:color w:val="000000"/>
          <w:kern w:val="0"/>
          <w:sz w:val="30"/>
          <w:szCs w:val="30"/>
        </w:rPr>
        <w:t>浙江中医药大学</w:t>
      </w:r>
      <w:r w:rsidRPr="00E00CA7">
        <w:rPr>
          <w:rFonts w:ascii="黑体" w:eastAsia="黑体" w:hAnsi="宋体" w:cs="宋体" w:hint="eastAsia"/>
          <w:b/>
          <w:kern w:val="0"/>
          <w:sz w:val="30"/>
          <w:szCs w:val="30"/>
        </w:rPr>
        <w:t>第</w:t>
      </w:r>
      <w:r w:rsidR="00F23496">
        <w:rPr>
          <w:rFonts w:ascii="黑体" w:eastAsia="黑体" w:hAnsi="宋体" w:cs="宋体" w:hint="eastAsia"/>
          <w:b/>
          <w:kern w:val="0"/>
          <w:sz w:val="30"/>
          <w:szCs w:val="30"/>
        </w:rPr>
        <w:t>八</w:t>
      </w:r>
      <w:r w:rsidR="00B6363D" w:rsidRPr="00E00CA7">
        <w:rPr>
          <w:rFonts w:ascii="黑体" w:eastAsia="黑体" w:hAnsi="宋体" w:cs="宋体" w:hint="eastAsia"/>
          <w:b/>
          <w:kern w:val="0"/>
          <w:sz w:val="30"/>
          <w:szCs w:val="30"/>
        </w:rPr>
        <w:t>届针灸推拿学科竞赛</w:t>
      </w:r>
    </w:p>
    <w:p w:rsidR="00B6363D" w:rsidRDefault="00B6363D">
      <w:pPr>
        <w:widowControl/>
        <w:jc w:val="center"/>
        <w:rPr>
          <w:rFonts w:ascii="黑体" w:eastAsia="黑体" w:hAnsi="宋体" w:cs="宋体"/>
          <w:b/>
          <w:color w:val="000000"/>
          <w:kern w:val="0"/>
          <w:sz w:val="30"/>
          <w:szCs w:val="30"/>
        </w:rPr>
      </w:pPr>
      <w:r w:rsidRPr="00E00CA7">
        <w:rPr>
          <w:rFonts w:ascii="黑体" w:eastAsia="黑体" w:hAnsi="宋体" w:cs="宋体" w:hint="eastAsia"/>
          <w:b/>
          <w:kern w:val="0"/>
          <w:sz w:val="30"/>
          <w:szCs w:val="30"/>
        </w:rPr>
        <w:t>暨第十</w:t>
      </w:r>
      <w:r w:rsidR="00F23496">
        <w:rPr>
          <w:rFonts w:ascii="黑体" w:eastAsia="黑体" w:hAnsi="宋体" w:cs="宋体" w:hint="eastAsia"/>
          <w:b/>
          <w:kern w:val="0"/>
          <w:sz w:val="30"/>
          <w:szCs w:val="30"/>
        </w:rPr>
        <w:t>六</w:t>
      </w:r>
      <w:r w:rsidRPr="00E00CA7">
        <w:rPr>
          <w:rFonts w:ascii="黑体" w:eastAsia="黑体" w:hAnsi="宋体" w:cs="宋体" w:hint="eastAsia"/>
          <w:b/>
          <w:kern w:val="0"/>
          <w:sz w:val="30"/>
          <w:szCs w:val="30"/>
        </w:rPr>
        <w:t>届</w:t>
      </w:r>
      <w:r w:rsidRPr="00E00CA7">
        <w:rPr>
          <w:rFonts w:ascii="黑体" w:eastAsia="黑体" w:hint="eastAsia"/>
          <w:b/>
          <w:sz w:val="30"/>
          <w:szCs w:val="30"/>
        </w:rPr>
        <w:t>推拿</w:t>
      </w:r>
      <w:r>
        <w:rPr>
          <w:rFonts w:ascii="黑体" w:eastAsia="黑体" w:hint="eastAsia"/>
          <w:b/>
          <w:color w:val="000000"/>
          <w:sz w:val="30"/>
          <w:szCs w:val="30"/>
        </w:rPr>
        <w:t>功法手法大赛</w:t>
      </w:r>
      <w:r>
        <w:rPr>
          <w:rFonts w:ascii="黑体" w:eastAsia="黑体" w:hAnsi="宋体" w:cs="宋体" w:hint="eastAsia"/>
          <w:b/>
          <w:color w:val="000000"/>
          <w:kern w:val="0"/>
          <w:sz w:val="30"/>
          <w:szCs w:val="30"/>
        </w:rPr>
        <w:t>的通知</w:t>
      </w:r>
    </w:p>
    <w:p w:rsidR="00B6363D" w:rsidRDefault="00B6363D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一、竞赛背景</w:t>
      </w:r>
    </w:p>
    <w:p w:rsidR="00B6363D" w:rsidRDefault="00B6363D">
      <w:pPr>
        <w:widowControl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为更好的实现中医学人才培养目标，进一步适应医疗卫生服务市场对中医人才培养的需求，引导学生自主学习、探索学习、理论联系实际，提高医学生的临床技能和创新能力，检验医学人才培养质量，展现我校学生针灸推拿专业技术风采，特举办学校第</w:t>
      </w:r>
      <w:r w:rsidR="00F23496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八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届针灸推拿学科竞赛暨第十</w:t>
      </w:r>
      <w:r w:rsidR="00F23496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六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届推拿功法手法大赛。</w:t>
      </w:r>
    </w:p>
    <w:p w:rsidR="00B6363D" w:rsidRDefault="00B6363D">
      <w:pPr>
        <w:widowControl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二、竞赛组织机构</w:t>
      </w:r>
    </w:p>
    <w:p w:rsidR="00B6363D" w:rsidRDefault="00B6363D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主办单位：浙江中医药大学学科竞赛委员会</w:t>
      </w:r>
    </w:p>
    <w:p w:rsidR="00B6363D" w:rsidRDefault="00B6363D">
      <w:pPr>
        <w:widowControl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承办单位：浙江中医药大学针灸推拿</w:t>
      </w:r>
      <w:r w:rsidR="000259A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学科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竞赛基地</w:t>
      </w:r>
    </w:p>
    <w:p w:rsidR="00B6363D" w:rsidRDefault="00B6363D">
      <w:pPr>
        <w:widowControl/>
        <w:ind w:firstLineChars="700" w:firstLine="19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浙江中医药大学第三临床医学院</w:t>
      </w:r>
      <w:r w:rsidR="00185DB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、康复医学院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团委</w:t>
      </w:r>
    </w:p>
    <w:p w:rsidR="00B6363D" w:rsidRPr="000259A0" w:rsidRDefault="00B6363D">
      <w:pPr>
        <w:widowControl/>
        <w:ind w:firstLineChars="700" w:firstLine="19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0259A0">
        <w:rPr>
          <w:rFonts w:ascii="仿宋_GB2312" w:eastAsia="仿宋_GB2312" w:hAnsi="宋体" w:cs="宋体" w:hint="eastAsia"/>
          <w:kern w:val="0"/>
          <w:sz w:val="28"/>
          <w:szCs w:val="28"/>
        </w:rPr>
        <w:t>浙江中医药大学第三临床医学院</w:t>
      </w:r>
      <w:r w:rsidR="00185DB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、康复医学院</w:t>
      </w:r>
      <w:r w:rsidR="009D258D">
        <w:rPr>
          <w:rFonts w:ascii="仿宋_GB2312" w:eastAsia="仿宋_GB2312" w:hAnsi="宋体" w:cs="宋体" w:hint="eastAsia"/>
          <w:kern w:val="0"/>
          <w:sz w:val="28"/>
          <w:szCs w:val="28"/>
        </w:rPr>
        <w:t>教学部</w:t>
      </w:r>
    </w:p>
    <w:p w:rsidR="00B6363D" w:rsidRDefault="00B6363D">
      <w:pPr>
        <w:widowControl/>
        <w:ind w:firstLineChars="700" w:firstLine="19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浙江中医药大学学生推拿协会</w:t>
      </w:r>
    </w:p>
    <w:p w:rsidR="00B6363D" w:rsidRDefault="00B6363D">
      <w:pPr>
        <w:widowControl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b/>
          <w:color w:val="000000"/>
          <w:kern w:val="0"/>
          <w:sz w:val="28"/>
          <w:szCs w:val="28"/>
          <w:lang w:val="zh-CN"/>
        </w:rPr>
        <w:t>三、竞赛形式及类别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仿宋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t>竞赛分初赛和决赛，竞赛内容由推拿专业技能知识及功法、手法技能操作组成。竞赛分手法业余组、手法专业组、推拿功法组。参赛选手可自由选择参加全能比赛或者单项比赛，全能比赛选手需参加笔试、功法比赛和人体操作技能比赛，单项比赛选手任选一个组别参加。</w:t>
      </w:r>
    </w:p>
    <w:p w:rsidR="00B6363D" w:rsidRDefault="00B6363D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四、竞赛流程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仿宋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初赛内容由推拿专业知识和技能操作两部分组成，除手法业余组之外的参赛选手都须参加推拿专业知识竞赛，形式为</w:t>
      </w:r>
      <w:r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t>模拟病案笔试；</w:t>
      </w:r>
      <w:r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lastRenderedPageBreak/>
        <w:t>业余组和专业组的技能竞赛初赛分别在米袋及模特上操作，形式见下文“竞赛内容”，两组各筛选20人进入决赛。功法组直接进入决赛。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b/>
          <w:color w:val="000000"/>
          <w:kern w:val="0"/>
          <w:sz w:val="28"/>
          <w:szCs w:val="28"/>
          <w:lang w:val="zh-CN"/>
        </w:rPr>
        <w:t>五、竞赛内容及规则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jc w:val="left"/>
        <w:rPr>
          <w:rFonts w:ascii="仿宋_GB2312" w:eastAsia="仿宋_GB2312" w:cs="楷体_GB2312"/>
          <w:b/>
          <w:bCs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b/>
          <w:bCs/>
          <w:color w:val="000000"/>
          <w:kern w:val="0"/>
          <w:sz w:val="28"/>
          <w:szCs w:val="28"/>
          <w:lang w:val="zh-CN"/>
        </w:rPr>
        <w:t>（一）裁判人员及评比规则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b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1、初赛由4位推拿专业在校研究生担任，并从中设一名裁判长;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b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2、决赛由5位推拿专业任课老师担任，并从中设一名裁判长;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3、裁判同时给选手打分,按得分高低进行评奖。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b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4、具体评分见手法组及功法组评分细则（附件一）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jc w:val="left"/>
        <w:rPr>
          <w:rFonts w:ascii="仿宋_GB2312" w:eastAsia="仿宋_GB2312" w:cs="楷体_GB2312"/>
          <w:b/>
          <w:bCs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b/>
          <w:bCs/>
          <w:color w:val="000000"/>
          <w:kern w:val="0"/>
          <w:sz w:val="28"/>
          <w:szCs w:val="28"/>
          <w:lang w:val="zh-CN"/>
        </w:rPr>
        <w:t>（二）得分标准及方法</w:t>
      </w:r>
    </w:p>
    <w:p w:rsidR="00B6363D" w:rsidRDefault="00B6363D" w:rsidP="00185DB3">
      <w:pPr>
        <w:tabs>
          <w:tab w:val="left" w:pos="10224"/>
        </w:tabs>
        <w:autoSpaceDE w:val="0"/>
        <w:autoSpaceDN w:val="0"/>
        <w:adjustRightInd w:val="0"/>
        <w:ind w:firstLineChars="200" w:firstLine="562"/>
        <w:jc w:val="left"/>
        <w:rPr>
          <w:rFonts w:ascii="仿宋_GB2312" w:eastAsia="仿宋_GB2312" w:cs="楷体_GB2312"/>
          <w:b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b/>
          <w:bCs/>
          <w:color w:val="000000"/>
          <w:kern w:val="0"/>
          <w:sz w:val="28"/>
          <w:szCs w:val="28"/>
          <w:lang w:val="zh-CN"/>
        </w:rPr>
        <w:t>1、手法业余组</w:t>
      </w: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——统一在米袋上操作（参赛选手自带米袋）。</w:t>
      </w:r>
    </w:p>
    <w:p w:rsidR="00B6363D" w:rsidRDefault="00B6363D" w:rsidP="00185DB3">
      <w:pPr>
        <w:ind w:firstLineChars="150" w:firstLine="422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b/>
          <w:bCs/>
          <w:color w:val="000000"/>
          <w:kern w:val="0"/>
          <w:sz w:val="28"/>
          <w:szCs w:val="28"/>
          <w:lang w:val="zh-CN"/>
        </w:rPr>
        <w:t>（1）</w:t>
      </w:r>
      <w:proofErr w:type="gramStart"/>
      <w:r>
        <w:rPr>
          <w:rFonts w:ascii="仿宋_GB2312" w:eastAsia="仿宋_GB2312" w:hAnsi="宋体" w:hint="eastAsia"/>
          <w:b/>
          <w:bCs/>
          <w:color w:val="000000"/>
          <w:spacing w:val="-40"/>
          <w:w w:val="85"/>
          <w:sz w:val="28"/>
          <w:szCs w:val="28"/>
        </w:rPr>
        <w:t>扌衮</w:t>
      </w:r>
      <w:proofErr w:type="gramEnd"/>
      <w:r>
        <w:rPr>
          <w:rFonts w:ascii="仿宋_GB2312" w:eastAsia="仿宋_GB2312" w:hAnsi="宋体" w:hint="eastAsia"/>
          <w:b/>
          <w:bCs/>
          <w:color w:val="000000"/>
          <w:sz w:val="28"/>
          <w:szCs w:val="28"/>
        </w:rPr>
        <w:t xml:space="preserve"> 法</w:t>
      </w:r>
      <w:r>
        <w:rPr>
          <w:rFonts w:ascii="仿宋_GB2312" w:eastAsia="仿宋_GB2312" w:cs="楷体_GB2312" w:hint="eastAsia"/>
          <w:b/>
          <w:bCs/>
          <w:color w:val="000000"/>
          <w:kern w:val="0"/>
          <w:sz w:val="28"/>
          <w:szCs w:val="28"/>
          <w:lang w:val="zh-CN"/>
        </w:rPr>
        <w:t>：</w:t>
      </w: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（满分为100分）</w:t>
      </w:r>
    </w:p>
    <w:p w:rsidR="00B6363D" w:rsidRDefault="00B6363D" w:rsidP="00185DB3">
      <w:pPr>
        <w:tabs>
          <w:tab w:val="left" w:pos="10224"/>
        </w:tabs>
        <w:autoSpaceDE w:val="0"/>
        <w:autoSpaceDN w:val="0"/>
        <w:adjustRightInd w:val="0"/>
        <w:ind w:firstLineChars="200" w:firstLine="562"/>
        <w:jc w:val="left"/>
        <w:rPr>
          <w:rFonts w:ascii="仿宋_GB2312" w:eastAsia="仿宋_GB2312" w:cs="楷体_GB2312"/>
          <w:b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b/>
          <w:bCs/>
          <w:color w:val="000000"/>
          <w:kern w:val="0"/>
          <w:sz w:val="28"/>
          <w:szCs w:val="28"/>
          <w:lang w:val="zh-CN"/>
        </w:rPr>
        <w:t>动作要求</w:t>
      </w: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：沉肩、垂肘、屈伸腕、旋臂、吸定、持久、均匀、频率；（各10分、身体姿势20分）</w:t>
      </w:r>
    </w:p>
    <w:p w:rsidR="00B6363D" w:rsidRDefault="00B6363D" w:rsidP="00185DB3">
      <w:pPr>
        <w:tabs>
          <w:tab w:val="left" w:pos="10224"/>
        </w:tabs>
        <w:autoSpaceDE w:val="0"/>
        <w:autoSpaceDN w:val="0"/>
        <w:adjustRightInd w:val="0"/>
        <w:ind w:firstLineChars="200" w:firstLine="562"/>
        <w:jc w:val="left"/>
        <w:rPr>
          <w:rFonts w:ascii="仿宋_GB2312" w:eastAsia="仿宋_GB2312" w:cs="楷体_GB2312"/>
          <w:b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b/>
          <w:bCs/>
          <w:color w:val="000000"/>
          <w:kern w:val="0"/>
          <w:sz w:val="28"/>
          <w:szCs w:val="28"/>
          <w:lang w:val="zh-CN"/>
        </w:rPr>
        <w:t>时间要求：</w:t>
      </w: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8分钟，未在规定时间内完成者，取消其该项得分；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注：每出现一次不符合要求者扣1分，同</w:t>
      </w:r>
      <w:proofErr w:type="gramStart"/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一要求</w:t>
      </w:r>
      <w:proofErr w:type="gramEnd"/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最多不超过5分；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（2）一指禅推法：（满分为100分）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a、动作要求：沉肩、垂肘、悬腕、掌虚、指实、吸定、持久、均匀、柔和、频率；（各10分）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b、时间要求：8分钟，未在规定时间内完成者，取消其该项得分；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c、每出现一次不符合要求者扣1分，同</w:t>
      </w:r>
      <w:proofErr w:type="gramStart"/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一要求</w:t>
      </w:r>
      <w:proofErr w:type="gramEnd"/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最多不超过5分；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center"/>
        <w:rPr>
          <w:rFonts w:ascii="仿宋_GB2312" w:eastAsia="仿宋_GB2312" w:cs="楷体_GB2312"/>
          <w:color w:val="000000"/>
          <w:kern w:val="0"/>
          <w:sz w:val="28"/>
          <w:szCs w:val="28"/>
          <w:u w:val="single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u w:val="single"/>
          <w:lang w:val="zh-CN"/>
        </w:rPr>
        <w:t>总分=（</w:t>
      </w:r>
      <w:proofErr w:type="gramStart"/>
      <w:r>
        <w:rPr>
          <w:rFonts w:ascii="仿宋_GB2312" w:eastAsia="仿宋_GB2312" w:hAnsi="宋体" w:hint="eastAsia"/>
          <w:color w:val="000000"/>
          <w:spacing w:val="-40"/>
          <w:w w:val="85"/>
          <w:sz w:val="28"/>
          <w:szCs w:val="28"/>
          <w:u w:val="single"/>
        </w:rPr>
        <w:t>扌衮</w:t>
      </w:r>
      <w:proofErr w:type="gramEnd"/>
      <w:r>
        <w:rPr>
          <w:rFonts w:ascii="仿宋_GB2312" w:eastAsia="仿宋_GB2312" w:hAnsi="宋体" w:hint="eastAsia"/>
          <w:color w:val="000000"/>
          <w:sz w:val="28"/>
          <w:szCs w:val="28"/>
          <w:u w:val="single"/>
        </w:rPr>
        <w:t xml:space="preserve"> 法得分+一指禅推法得分）×50%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2、手法专业组</w:t>
      </w:r>
      <w:proofErr w:type="gramStart"/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—人体</w:t>
      </w:r>
      <w:proofErr w:type="gramEnd"/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操作（颈项部、腰背部、上肢部任选其一）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lastRenderedPageBreak/>
        <w:t>（1）各参赛选手基本分为85分，满分为100分；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（2）各种手法符合操作基本要求+2分；动作错误-1分；动作变形-0.5分；（加分减分最多不超过5分）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（3）各种手法变换时，自然</w:t>
      </w:r>
      <w:proofErr w:type="gramStart"/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连贯+</w:t>
      </w:r>
      <w:proofErr w:type="gramEnd"/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2分；变换时生硬、不协调，酌情扣分，扣完为止；（加分减分最多不超过5分）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（4）为同一效果，手法呈现多样性，由裁判长酌情给予加分；（最多不超过5分）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（5）操作时间为30分钟，由工作人员宣布时间。提前结束及超出时间者，均酌情扣分，最多不超过5分。但提前或超出10分钟以上，取消成绩。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center"/>
        <w:rPr>
          <w:rFonts w:ascii="仿宋_GB2312" w:eastAsia="仿宋_GB2312" w:cs="楷体_GB2312"/>
          <w:color w:val="000000"/>
          <w:kern w:val="0"/>
          <w:sz w:val="28"/>
          <w:szCs w:val="28"/>
          <w:u w:val="single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u w:val="single"/>
          <w:lang w:val="zh-CN"/>
        </w:rPr>
        <w:t>总分=人体操作得分×70%+笔试得分×30%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3、功法组——集体比赛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（1）比赛内容为5个少林内功和易筋经功法中部分静止性动作；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（2）由裁判长宣布比赛动作，比赛时间；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（3）各参赛选手每个动作基本分为15分，满分为20分；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（4）在规定时间内，动作变形每次-0.5分，最多不超过5分；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（5）动作规范者可酌情加分，最多不超过5分；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楷体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（6）在规定时间内未完</w:t>
      </w:r>
      <w:proofErr w:type="gramStart"/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成动作</w:t>
      </w:r>
      <w:proofErr w:type="gramEnd"/>
      <w:r>
        <w:rPr>
          <w:rFonts w:ascii="仿宋_GB2312" w:eastAsia="仿宋_GB2312" w:cs="楷体_GB2312" w:hint="eastAsia"/>
          <w:color w:val="000000"/>
          <w:kern w:val="0"/>
          <w:sz w:val="28"/>
          <w:szCs w:val="28"/>
          <w:lang w:val="zh-CN"/>
        </w:rPr>
        <w:t>者-2分；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jc w:val="left"/>
        <w:rPr>
          <w:rFonts w:ascii="仿宋_GB2312" w:eastAsia="仿宋_GB2312" w:cs="仿宋_GB2312"/>
          <w:b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仿宋_GB2312" w:hint="eastAsia"/>
          <w:b/>
          <w:color w:val="000000"/>
          <w:kern w:val="0"/>
          <w:sz w:val="28"/>
          <w:szCs w:val="28"/>
          <w:lang w:val="zh-CN"/>
        </w:rPr>
        <w:t>六、评奖方式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196" w:firstLine="549"/>
        <w:jc w:val="left"/>
        <w:rPr>
          <w:rFonts w:ascii="仿宋_GB2312" w:eastAsia="仿宋_GB2312" w:cs="仿宋_GB2312"/>
          <w:b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t>1、评委：初赛邀请推拿专业在校研究生担任；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637" w:firstLine="1784"/>
        <w:jc w:val="left"/>
        <w:rPr>
          <w:rFonts w:ascii="仿宋_GB2312" w:eastAsia="仿宋_GB2312" w:cs="仿宋_GB2312"/>
          <w:b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t>决赛邀请推拿专业任课老师担任；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仿宋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t>2、奖项：每组各设“一、二、三等奖”3个奖项；其中一等奖1名，</w:t>
      </w:r>
      <w:r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lastRenderedPageBreak/>
        <w:t>二等奖2名，三等奖3名。特设功法组“饿虎扑食”单项奖1名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仿宋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t>3、颁奖：比赛结束后当场宣布比赛结果，并举行闭幕式典礼，邀颁奖嘉宾对获奖同学颁发证书和礼品。</w:t>
      </w:r>
    </w:p>
    <w:p w:rsidR="00B6363D" w:rsidRDefault="00B6363D">
      <w:pPr>
        <w:tabs>
          <w:tab w:val="left" w:pos="10224"/>
        </w:tabs>
        <w:autoSpaceDE w:val="0"/>
        <w:autoSpaceDN w:val="0"/>
        <w:adjustRightInd w:val="0"/>
        <w:ind w:firstLineChars="200" w:firstLine="560"/>
        <w:jc w:val="left"/>
        <w:rPr>
          <w:rFonts w:ascii="仿宋_GB2312" w:eastAsia="仿宋_GB2312" w:cs="仿宋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t>4、评奖：以“公开、公平、公正”三公为原则；切实做到比赛的公正性，使之评之有理，奖之有</w:t>
      </w:r>
      <w:proofErr w:type="gramStart"/>
      <w:r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t>励</w:t>
      </w:r>
      <w:proofErr w:type="gramEnd"/>
      <w:r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t>。让所有学生得到合理、公正的比赛与交流。</w:t>
      </w:r>
    </w:p>
    <w:p w:rsidR="00B6363D" w:rsidRDefault="00B6363D">
      <w:pPr>
        <w:widowControl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七、参赛报名办法</w:t>
      </w:r>
    </w:p>
    <w:p w:rsidR="00B6363D" w:rsidRDefault="00B6363D">
      <w:pPr>
        <w:pStyle w:val="a8"/>
        <w:ind w:firstLineChars="200" w:firstLine="560"/>
        <w:rPr>
          <w:rFonts w:ascii="仿宋_GB2312" w:eastAsia="仿宋_GB2312" w:cs="仿宋_GB2312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</w:t>
      </w:r>
      <w:r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t>、参赛对象：我校全日制注册本科学生</w:t>
      </w:r>
      <w:r w:rsidR="00185DB3"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t>、研究生</w:t>
      </w:r>
      <w:r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t>均可报名参加</w:t>
      </w:r>
    </w:p>
    <w:p w:rsidR="00B6363D" w:rsidRDefault="00B6363D">
      <w:pPr>
        <w:widowControl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  <w:lang w:val="zh-CN"/>
        </w:rPr>
        <w:t xml:space="preserve">    2、报名方法：竞赛以个人形式报名参加，参赛者填写《浙江中医药大学针灸推拿学科竞赛暨推拿功法手法大赛报名表》（附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件二），由所在学院推荐向竞赛办公室报名。报名表纸质稿一式一份交竞赛办公室，电子稿发到yltw_zjtcm@126.com。</w:t>
      </w:r>
    </w:p>
    <w:p w:rsidR="00B6363D" w:rsidRDefault="00B6363D">
      <w:pPr>
        <w:widowControl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3、报名截止时间：</w:t>
      </w:r>
      <w:r w:rsidR="00B8080D" w:rsidRPr="00E46BB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201</w:t>
      </w:r>
      <w:r w:rsidR="00185DB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8</w:t>
      </w:r>
      <w:r w:rsidR="00B8080D" w:rsidRPr="00E46BB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年</w:t>
      </w:r>
      <w:r w:rsidR="00185DB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10</w:t>
      </w:r>
      <w:r w:rsidR="00B8080D" w:rsidRPr="00E46BB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B8080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（具体时间待定）</w:t>
      </w:r>
    </w:p>
    <w:p w:rsidR="00B6363D" w:rsidRDefault="00B6363D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八、竞赛时间：</w:t>
      </w:r>
      <w:r w:rsidR="00B8080D" w:rsidRPr="00E46BB0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201</w:t>
      </w:r>
      <w:r w:rsidR="00185DB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8</w:t>
      </w:r>
      <w:r w:rsidR="00B8080D" w:rsidRPr="00E46BB0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年</w:t>
      </w:r>
      <w:r w:rsidR="00185DB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11</w:t>
      </w:r>
      <w:r w:rsidR="00B8080D" w:rsidRPr="00E46BB0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月</w:t>
      </w:r>
      <w:r w:rsidR="00B8080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（具体时间待定）</w:t>
      </w:r>
    </w:p>
    <w:p w:rsidR="00B6363D" w:rsidRDefault="00B6363D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九、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竞赛</w:t>
      </w:r>
      <w: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基地办公室联系方式</w:t>
      </w:r>
    </w:p>
    <w:p w:rsidR="00B6363D" w:rsidRDefault="00B6363D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竞赛基地办公室地址：第三临床医学院</w:t>
      </w:r>
      <w:r w:rsidR="00185DB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、康复医学院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团委 </w:t>
      </w:r>
      <w:r w:rsidR="00185DB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3221</w:t>
      </w:r>
    </w:p>
    <w:p w:rsidR="00B6363D" w:rsidRDefault="00B6363D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联系电话：86613661    联系人：</w:t>
      </w:r>
      <w:r w:rsidR="00185DB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国佳</w:t>
      </w:r>
    </w:p>
    <w:p w:rsidR="00B6363D" w:rsidRDefault="00B6363D">
      <w:pPr>
        <w:widowControl/>
        <w:jc w:val="left"/>
        <w:rPr>
          <w:rFonts w:ascii="宋体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邮箱：</w:t>
      </w:r>
      <w:r w:rsidR="00185DB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14919610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@qq.com</w:t>
      </w:r>
      <w:r>
        <w:rPr>
          <w:rFonts w:ascii="宋体" w:eastAsia="仿宋_GB2312" w:hAnsi="宋体" w:cs="宋体" w:hint="eastAsia"/>
          <w:color w:val="000000"/>
          <w:kern w:val="0"/>
          <w:sz w:val="28"/>
          <w:szCs w:val="28"/>
        </w:rPr>
        <w:t xml:space="preserve">      </w:t>
      </w:r>
      <w:r w:rsidR="00B8080D">
        <w:rPr>
          <w:rFonts w:ascii="宋体" w:eastAsia="仿宋_GB2312" w:hAnsi="宋体" w:cs="宋体" w:hint="eastAsia"/>
          <w:color w:val="000000"/>
          <w:kern w:val="0"/>
          <w:sz w:val="28"/>
          <w:szCs w:val="28"/>
        </w:rPr>
        <w:t xml:space="preserve">                              </w:t>
      </w:r>
    </w:p>
    <w:p w:rsidR="00B6363D" w:rsidRDefault="00B6363D" w:rsidP="00185DB3">
      <w:pPr>
        <w:widowControl/>
        <w:ind w:firstLineChars="1500" w:firstLine="4200"/>
        <w:jc w:val="left"/>
        <w:rPr>
          <w:rFonts w:ascii="宋体" w:eastAsia="仿宋_GB2312" w:hAnsi="宋体" w:cs="宋体"/>
          <w:color w:val="000000"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color w:val="000000"/>
          <w:kern w:val="0"/>
          <w:sz w:val="28"/>
          <w:szCs w:val="28"/>
        </w:rPr>
        <w:t>第三临床医学院</w:t>
      </w:r>
      <w:r w:rsidR="00185DB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、康复医学院</w:t>
      </w:r>
    </w:p>
    <w:p w:rsidR="00B6363D" w:rsidRDefault="00B6363D">
      <w:pPr>
        <w:widowControl/>
        <w:jc w:val="left"/>
        <w:rPr>
          <w:rFonts w:ascii="宋体" w:eastAsia="仿宋_GB2312" w:hAnsi="宋体" w:cs="宋体"/>
          <w:color w:val="000000"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color w:val="000000"/>
          <w:kern w:val="0"/>
          <w:sz w:val="28"/>
          <w:szCs w:val="28"/>
        </w:rPr>
        <w:t xml:space="preserve">                                        201</w:t>
      </w:r>
      <w:r w:rsidR="00185DB3">
        <w:rPr>
          <w:rFonts w:ascii="宋体" w:eastAsia="仿宋_GB2312" w:hAnsi="宋体" w:cs="宋体" w:hint="eastAsia"/>
          <w:color w:val="000000"/>
          <w:kern w:val="0"/>
          <w:sz w:val="28"/>
          <w:szCs w:val="28"/>
        </w:rPr>
        <w:t>8</w:t>
      </w:r>
      <w:r>
        <w:rPr>
          <w:rFonts w:ascii="宋体" w:eastAsia="仿宋_GB2312" w:hAnsi="宋体" w:cs="宋体" w:hint="eastAsia"/>
          <w:color w:val="000000"/>
          <w:kern w:val="0"/>
          <w:sz w:val="28"/>
          <w:szCs w:val="28"/>
        </w:rPr>
        <w:t>年</w:t>
      </w:r>
      <w:r w:rsidR="009D258D">
        <w:rPr>
          <w:rFonts w:ascii="宋体" w:eastAsia="仿宋_GB2312" w:hAnsi="宋体" w:cs="宋体" w:hint="eastAsia"/>
          <w:color w:val="000000"/>
          <w:kern w:val="0"/>
          <w:sz w:val="28"/>
          <w:szCs w:val="28"/>
        </w:rPr>
        <w:t>3</w:t>
      </w:r>
      <w:r>
        <w:rPr>
          <w:rFonts w:ascii="宋体" w:eastAsia="仿宋_GB2312" w:hAnsi="宋体" w:cs="宋体" w:hint="eastAsia"/>
          <w:color w:val="000000"/>
          <w:kern w:val="0"/>
          <w:sz w:val="28"/>
          <w:szCs w:val="28"/>
        </w:rPr>
        <w:t>月</w:t>
      </w:r>
    </w:p>
    <w:p w:rsidR="00185DB3" w:rsidRDefault="00185DB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A81F9D" w:rsidRDefault="00B8080D" w:rsidP="00A81F9D">
      <w:pPr>
        <w:widowControl/>
        <w:ind w:left="1120" w:hangingChars="400" w:hanging="1120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E46BB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lastRenderedPageBreak/>
        <w:t>附件1：《</w:t>
      </w:r>
      <w:r w:rsidRPr="00661766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浙江中医药大学</w:t>
      </w:r>
      <w:r w:rsidR="00F23496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第八届针灸推拿学科竞赛暨第十六届推拿功法手法大赛</w:t>
      </w:r>
      <w:r w:rsidRPr="00E46BB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报名表》</w:t>
      </w:r>
    </w:p>
    <w:p w:rsidR="00A81F9D" w:rsidRDefault="00B8080D" w:rsidP="00A81F9D">
      <w:pPr>
        <w:widowControl/>
        <w:ind w:left="1120" w:hangingChars="400" w:hanging="1120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E46BB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附件1：</w:t>
      </w:r>
    </w:p>
    <w:p w:rsidR="00B8080D" w:rsidRPr="00A81F9D" w:rsidRDefault="00B8080D" w:rsidP="00A81F9D">
      <w:pPr>
        <w:widowControl/>
        <w:ind w:left="960" w:hangingChars="400" w:hanging="960"/>
        <w:rPr>
          <w:rFonts w:ascii="仿宋_GB2312" w:eastAsia="仿宋_GB2312" w:hAnsi="宋体" w:cs="宋体"/>
          <w:color w:val="000000"/>
          <w:kern w:val="0"/>
          <w:sz w:val="24"/>
        </w:rPr>
      </w:pPr>
      <w:r w:rsidRPr="00A81F9D">
        <w:rPr>
          <w:rFonts w:ascii="仿宋_GB2312" w:eastAsia="仿宋_GB2312" w:hAnsi="宋体" w:cs="宋体" w:hint="eastAsia"/>
          <w:color w:val="000000"/>
          <w:kern w:val="0"/>
          <w:sz w:val="24"/>
        </w:rPr>
        <w:t>《浙江中医药大学</w:t>
      </w:r>
      <w:r w:rsidR="00F23496" w:rsidRPr="00F23496">
        <w:rPr>
          <w:rFonts w:ascii="仿宋_GB2312" w:eastAsia="仿宋_GB2312" w:hAnsi="宋体" w:cs="宋体" w:hint="eastAsia"/>
          <w:color w:val="000000"/>
          <w:kern w:val="0"/>
          <w:sz w:val="24"/>
        </w:rPr>
        <w:t>第八届针灸推拿学科竞赛暨第十六届推拿功法手法大赛</w:t>
      </w:r>
      <w:bookmarkStart w:id="0" w:name="_GoBack"/>
      <w:bookmarkEnd w:id="0"/>
      <w:r w:rsidRPr="00A81F9D">
        <w:rPr>
          <w:rFonts w:ascii="仿宋_GB2312" w:eastAsia="仿宋_GB2312" w:hAnsi="宋体" w:cs="宋体" w:hint="eastAsia"/>
          <w:color w:val="000000"/>
          <w:kern w:val="0"/>
          <w:sz w:val="24"/>
        </w:rPr>
        <w:t>报名表》</w:t>
      </w:r>
    </w:p>
    <w:p w:rsidR="00B8080D" w:rsidRPr="00661766" w:rsidRDefault="00B8080D" w:rsidP="00B8080D">
      <w:pPr>
        <w:widowControl/>
        <w:ind w:firstLineChars="50" w:firstLine="120"/>
        <w:rPr>
          <w:rFonts w:ascii="仿宋_GB2312" w:eastAsia="仿宋_GB2312" w:hAnsi="宋体" w:cs="宋体"/>
          <w:color w:val="000000"/>
          <w:kern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00"/>
        <w:gridCol w:w="1620"/>
        <w:gridCol w:w="1080"/>
        <w:gridCol w:w="1260"/>
        <w:gridCol w:w="1440"/>
        <w:gridCol w:w="1394"/>
      </w:tblGrid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8080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8080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8080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8080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年级</w:t>
            </w: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8080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8080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Chars="100" w:firstLine="28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B8080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组 别</w:t>
            </w: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4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08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4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08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4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08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  <w:r w:rsidRPr="00B8080D">
              <w:rPr>
                <w:rFonts w:hint="eastAsia"/>
                <w:color w:val="000000"/>
                <w:sz w:val="24"/>
              </w:rPr>
              <w:t xml:space="preserve"> </w:t>
            </w: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08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  <w:r w:rsidRPr="00B8080D">
              <w:rPr>
                <w:rFonts w:hint="eastAsia"/>
                <w:color w:val="000000"/>
                <w:sz w:val="24"/>
              </w:rPr>
              <w:t xml:space="preserve">   </w:t>
            </w:r>
          </w:p>
        </w:tc>
        <w:tc>
          <w:tcPr>
            <w:tcW w:w="162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08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1260" w:type="dxa"/>
            <w:vAlign w:val="center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  <w:tr w:rsidR="00B8080D" w:rsidRPr="00E46BB0" w:rsidTr="00B8080D">
        <w:tc>
          <w:tcPr>
            <w:tcW w:w="828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8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26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394" w:type="dxa"/>
          </w:tcPr>
          <w:p w:rsidR="00B8080D" w:rsidRPr="00B8080D" w:rsidRDefault="00B8080D" w:rsidP="00B8080D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color w:val="000000"/>
                <w:sz w:val="24"/>
              </w:rPr>
            </w:pPr>
          </w:p>
        </w:tc>
      </w:tr>
    </w:tbl>
    <w:p w:rsidR="00B6363D" w:rsidRDefault="00B6363D" w:rsidP="00A81F9D">
      <w:pPr>
        <w:widowControl/>
        <w:rPr>
          <w:rFonts w:ascii="仿宋_GB2312" w:eastAsia="仿宋_GB2312" w:hAnsi="宋体" w:cs="宋体"/>
          <w:color w:val="000000"/>
          <w:kern w:val="0"/>
          <w:sz w:val="24"/>
        </w:rPr>
      </w:pPr>
    </w:p>
    <w:sectPr w:rsidR="00B6363D" w:rsidSect="00A81F9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EE0" w:rsidRDefault="00D47EE0" w:rsidP="000A5C38">
      <w:r>
        <w:separator/>
      </w:r>
    </w:p>
  </w:endnote>
  <w:endnote w:type="continuationSeparator" w:id="0">
    <w:p w:rsidR="00D47EE0" w:rsidRDefault="00D47EE0" w:rsidP="000A5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EE0" w:rsidRDefault="00D47EE0" w:rsidP="000A5C38">
      <w:r>
        <w:separator/>
      </w:r>
    </w:p>
  </w:footnote>
  <w:footnote w:type="continuationSeparator" w:id="0">
    <w:p w:rsidR="00D47EE0" w:rsidRDefault="00D47EE0" w:rsidP="000A5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59A0"/>
    <w:rsid w:val="00065BD9"/>
    <w:rsid w:val="000A5C38"/>
    <w:rsid w:val="00172A27"/>
    <w:rsid w:val="00185DB3"/>
    <w:rsid w:val="0020430C"/>
    <w:rsid w:val="00440CDB"/>
    <w:rsid w:val="005E20E8"/>
    <w:rsid w:val="00673F3D"/>
    <w:rsid w:val="006D5F24"/>
    <w:rsid w:val="007129F1"/>
    <w:rsid w:val="009D258D"/>
    <w:rsid w:val="009F753F"/>
    <w:rsid w:val="00A81F9D"/>
    <w:rsid w:val="00B6363D"/>
    <w:rsid w:val="00B8080D"/>
    <w:rsid w:val="00CD284A"/>
    <w:rsid w:val="00D47EE0"/>
    <w:rsid w:val="00DA58D2"/>
    <w:rsid w:val="00E00CA7"/>
    <w:rsid w:val="00F23496"/>
    <w:rsid w:val="00F7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8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73820"/>
    <w:rPr>
      <w:color w:val="0000FF"/>
      <w:u w:val="single"/>
    </w:rPr>
  </w:style>
  <w:style w:type="character" w:customStyle="1" w:styleId="Char">
    <w:name w:val="页眉 Char"/>
    <w:basedOn w:val="a0"/>
    <w:link w:val="a4"/>
    <w:rsid w:val="00F73820"/>
    <w:rPr>
      <w:kern w:val="2"/>
      <w:sz w:val="18"/>
      <w:szCs w:val="18"/>
    </w:rPr>
  </w:style>
  <w:style w:type="character" w:styleId="a5">
    <w:name w:val="annotation reference"/>
    <w:basedOn w:val="a0"/>
    <w:rsid w:val="00F73820"/>
    <w:rPr>
      <w:sz w:val="21"/>
      <w:szCs w:val="21"/>
    </w:rPr>
  </w:style>
  <w:style w:type="character" w:customStyle="1" w:styleId="Char0">
    <w:name w:val="页脚 Char"/>
    <w:basedOn w:val="a0"/>
    <w:link w:val="a6"/>
    <w:rsid w:val="00F73820"/>
    <w:rPr>
      <w:kern w:val="2"/>
      <w:sz w:val="18"/>
      <w:szCs w:val="18"/>
    </w:rPr>
  </w:style>
  <w:style w:type="paragraph" w:styleId="a7">
    <w:name w:val="annotation subject"/>
    <w:basedOn w:val="a8"/>
    <w:next w:val="a8"/>
    <w:rsid w:val="00F73820"/>
    <w:rPr>
      <w:b/>
      <w:bCs/>
    </w:rPr>
  </w:style>
  <w:style w:type="paragraph" w:styleId="a6">
    <w:name w:val="footer"/>
    <w:basedOn w:val="a"/>
    <w:link w:val="Char0"/>
    <w:rsid w:val="00F738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F738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text"/>
    <w:basedOn w:val="a"/>
    <w:rsid w:val="00F73820"/>
    <w:pPr>
      <w:jc w:val="left"/>
    </w:pPr>
  </w:style>
  <w:style w:type="paragraph" w:styleId="a9">
    <w:name w:val="Balloon Text"/>
    <w:basedOn w:val="a"/>
    <w:rsid w:val="00F73820"/>
    <w:rPr>
      <w:sz w:val="18"/>
      <w:szCs w:val="18"/>
    </w:rPr>
  </w:style>
  <w:style w:type="paragraph" w:customStyle="1" w:styleId="Char1">
    <w:name w:val="Char"/>
    <w:basedOn w:val="a"/>
    <w:rsid w:val="00F73820"/>
    <w:pPr>
      <w:widowControl/>
      <w:spacing w:after="160" w:line="240" w:lineRule="exact"/>
      <w:ind w:firstLineChars="200" w:firstLine="200"/>
      <w:jc w:val="left"/>
    </w:pPr>
    <w:rPr>
      <w:rFonts w:ascii="Verdana" w:hAnsi="Verdana"/>
      <w:kern w:val="0"/>
      <w:sz w:val="20"/>
      <w:szCs w:val="20"/>
      <w:lang w:eastAsia="en-US"/>
    </w:rPr>
  </w:style>
  <w:style w:type="table" w:styleId="aa">
    <w:name w:val="Table Grid"/>
    <w:basedOn w:val="a1"/>
    <w:rsid w:val="00B808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Char2"/>
    <w:uiPriority w:val="99"/>
    <w:semiHidden/>
    <w:unhideWhenUsed/>
    <w:rsid w:val="00185DB3"/>
    <w:pPr>
      <w:ind w:leftChars="2500" w:left="100"/>
    </w:pPr>
  </w:style>
  <w:style w:type="character" w:customStyle="1" w:styleId="Char2">
    <w:name w:val="日期 Char"/>
    <w:basedOn w:val="a0"/>
    <w:link w:val="ab"/>
    <w:uiPriority w:val="99"/>
    <w:semiHidden/>
    <w:rsid w:val="00185DB3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351</Words>
  <Characters>2003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Microsoft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浙江中医药大学第二届针灸推拿学科竞赛</dc:title>
  <dc:creator>User</dc:creator>
  <cp:lastModifiedBy>Lenovo</cp:lastModifiedBy>
  <cp:revision>5</cp:revision>
  <cp:lastPrinted>1900-12-31T16:00:00Z</cp:lastPrinted>
  <dcterms:created xsi:type="dcterms:W3CDTF">2016-03-08T02:20:00Z</dcterms:created>
  <dcterms:modified xsi:type="dcterms:W3CDTF">2018-03-15T06:14:00Z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2052-8.1.0.3035</vt:lpwstr>
  </property>
</Properties>
</file>